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cs="宋体"/>
          <w:kern w:val="0"/>
          <w:sz w:val="24"/>
          <w:szCs w:val="32"/>
        </w:rPr>
      </w:pPr>
      <w:r>
        <w:rPr>
          <w:rFonts w:hint="eastAsia" w:ascii="宋体" w:hAnsi="宋体" w:cs="宋体"/>
          <w:kern w:val="0"/>
          <w:sz w:val="24"/>
          <w:szCs w:val="32"/>
        </w:rPr>
        <w:t>附件1：</w:t>
      </w:r>
    </w:p>
    <w:p>
      <w:pPr>
        <w:widowControl/>
        <w:shd w:val="clear" w:color="auto" w:fill="FFFFFF"/>
        <w:spacing w:line="375" w:lineRule="atLeast"/>
        <w:jc w:val="center"/>
        <w:rPr>
          <w:rFonts w:ascii="宋体" w:hAnsi="宋体" w:cs="宋体"/>
          <w:b/>
          <w:bCs/>
          <w:kern w:val="0"/>
          <w:sz w:val="36"/>
          <w:szCs w:val="44"/>
        </w:rPr>
      </w:pPr>
      <w:r>
        <w:rPr>
          <w:rFonts w:hint="eastAsia" w:ascii="宋体" w:hAnsi="宋体" w:cs="宋体"/>
          <w:b/>
          <w:bCs/>
          <w:kern w:val="0"/>
          <w:sz w:val="36"/>
          <w:szCs w:val="44"/>
        </w:rPr>
        <w:t>2021年国家奖学金、励志奖学金名额分配表</w:t>
      </w:r>
    </w:p>
    <w:tbl>
      <w:tblPr>
        <w:tblStyle w:val="2"/>
        <w:tblpPr w:leftFromText="180" w:rightFromText="180" w:vertAnchor="text" w:horzAnchor="page" w:tblpXSpec="center" w:tblpY="557"/>
        <w:tblOverlap w:val="never"/>
        <w:tblW w:w="92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1950"/>
        <w:gridCol w:w="2085"/>
        <w:gridCol w:w="2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人数（19、20级）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国家奖学金（名）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励志奖学金（名）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合  计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 w:bidi="ar"/>
              </w:rPr>
              <w:t>6678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智能建造学院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1317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建设管理学院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1796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经济管理与公共事务学院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405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智慧城市设计学院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1290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交通与市政工程学院（轨道与机电工程学院）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 w:bidi="ar"/>
              </w:rPr>
              <w:t>1230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智能制造与信息工程学院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640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</w:tr>
    </w:tbl>
    <w:p>
      <w:pPr>
        <w:widowControl/>
        <w:shd w:val="clear" w:color="auto" w:fill="FFFFFF"/>
        <w:rPr>
          <w:rFonts w:hint="eastAsia" w:ascii="宋体" w:hAnsi="宋体" w:cs="宋体"/>
          <w:b/>
          <w:bCs/>
          <w:kern w:val="0"/>
          <w:sz w:val="36"/>
          <w:szCs w:val="36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